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26302C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t>﻿</w:t>
      </w:r>
    </w:p>
    <w:p w:rsidR="00000000" w:rsidRDefault="0026302C">
      <w:pPr>
        <w:shd w:val="clear" w:color="auto" w:fill="FFFFFF"/>
        <w:divId w:val="898712894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ОКОЗ:</w:t>
      </w:r>
    </w:p>
    <w:p w:rsidR="00000000" w:rsidRDefault="0026302C">
      <w:pPr>
        <w:shd w:val="clear" w:color="auto" w:fill="FFFFFF"/>
        <w:divId w:val="1957249033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09.14.00.00 Сельское хозяйство / 09.14.09.00 Отрасли сельского хозяйства / 09.14.09.02 Хлопководство;</w:t>
      </w:r>
    </w:p>
    <w:p w:rsidR="00000000" w:rsidRDefault="0026302C">
      <w:pPr>
        <w:shd w:val="clear" w:color="auto" w:fill="FFFFFF"/>
        <w:divId w:val="1134713050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2.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09.00.00.00 Предпринимательство и хозяйственная деятельность / 09.14.00.00 Сельское хозяйство / 09.14.17.00 Договоры в сельском хозяйстве / 09.14.17.05 Кредитование, расчеты и страхование в сфере агропромышленного производства (см. также 07.22.06.01)]</w:t>
      </w:r>
    </w:p>
    <w:p w:rsidR="00000000" w:rsidRDefault="0026302C">
      <w:pPr>
        <w:shd w:val="clear" w:color="auto" w:fill="FFFFFF"/>
        <w:divId w:val="6179873"/>
        <w:rPr>
          <w:rFonts w:eastAsia="Times New Roman"/>
          <w:vanish/>
          <w:color w:val="008000"/>
          <w:sz w:val="22"/>
          <w:szCs w:val="22"/>
        </w:rPr>
      </w:pPr>
      <w:r>
        <w:rPr>
          <w:rFonts w:eastAsia="Times New Roman"/>
          <w:vanish/>
          <w:color w:val="008000"/>
          <w:sz w:val="22"/>
          <w:szCs w:val="22"/>
        </w:rPr>
        <w:t>[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ТСЗ</w:t>
      </w:r>
      <w:r>
        <w:rPr>
          <w:rFonts w:eastAsia="Times New Roman"/>
          <w:b/>
          <w:bCs/>
          <w:vanish/>
          <w:color w:val="008000"/>
          <w:sz w:val="22"/>
          <w:szCs w:val="22"/>
        </w:rPr>
        <w:t>:</w:t>
      </w:r>
    </w:p>
    <w:p w:rsidR="00000000" w:rsidRDefault="0026302C">
      <w:pPr>
        <w:shd w:val="clear" w:color="auto" w:fill="FFFFFF"/>
        <w:divId w:val="1945306135"/>
        <w:rPr>
          <w:rFonts w:eastAsia="Times New Roman"/>
          <w:vanish/>
          <w:color w:val="008000"/>
          <w:sz w:val="22"/>
          <w:szCs w:val="22"/>
        </w:rPr>
      </w:pPr>
      <w:r>
        <w:rPr>
          <w:rStyle w:val="iorrn1"/>
          <w:rFonts w:eastAsia="Times New Roman"/>
          <w:vanish/>
          <w:color w:val="008000"/>
          <w:sz w:val="22"/>
          <w:szCs w:val="22"/>
        </w:rPr>
        <w:t>1.</w:t>
      </w:r>
      <w:r>
        <w:rPr>
          <w:rStyle w:val="iorval1"/>
          <w:rFonts w:eastAsia="Times New Roman"/>
          <w:vanish/>
          <w:color w:val="008000"/>
          <w:sz w:val="22"/>
          <w:szCs w:val="22"/>
        </w:rPr>
        <w:t>Экономика / Сельское хозяйство]</w:t>
      </w:r>
    </w:p>
    <w:p w:rsidR="00000000" w:rsidRDefault="0026302C">
      <w:pPr>
        <w:shd w:val="clear" w:color="auto" w:fill="E6EDFF"/>
        <w:jc w:val="right"/>
        <w:divId w:val="1400861806"/>
        <w:rPr>
          <w:rFonts w:ascii="Arial" w:eastAsia="Times New Roman" w:hAnsi="Arial" w:cs="Arial"/>
          <w:vanish/>
          <w:sz w:val="16"/>
          <w:szCs w:val="16"/>
        </w:rPr>
      </w:pPr>
      <w:hyperlink r:id="rId4" w:history="1">
        <w:r>
          <w:rPr>
            <w:rFonts w:ascii="Arial" w:eastAsia="Times New Roman" w:hAnsi="Arial" w:cs="Arial"/>
            <w:vanish/>
            <w:color w:val="008080"/>
            <w:sz w:val="16"/>
            <w:szCs w:val="16"/>
          </w:rPr>
          <w:t>Официальный источник в PDF-файле</w:t>
        </w:r>
      </w:hyperlink>
    </w:p>
    <w:p w:rsidR="00000000" w:rsidRDefault="0026302C">
      <w:pPr>
        <w:shd w:val="clear" w:color="auto" w:fill="FFFFFF"/>
        <w:jc w:val="center"/>
        <w:divId w:val="1400861806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Постановление</w:t>
      </w:r>
    </w:p>
    <w:p w:rsidR="00000000" w:rsidRDefault="0026302C">
      <w:pPr>
        <w:shd w:val="clear" w:color="auto" w:fill="FFFFFF"/>
        <w:jc w:val="center"/>
        <w:divId w:val="1400861806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Кабинета Министров Республики Узбекистан</w:t>
      </w:r>
    </w:p>
    <w:p w:rsidR="00000000" w:rsidRDefault="0026302C">
      <w:pPr>
        <w:shd w:val="clear" w:color="auto" w:fill="FFFFFF"/>
        <w:jc w:val="center"/>
        <w:divId w:val="698818948"/>
        <w:rPr>
          <w:rFonts w:eastAsia="Times New Roman"/>
          <w:b/>
          <w:bCs/>
          <w:caps/>
          <w:color w:val="000080"/>
        </w:rPr>
      </w:pPr>
      <w:r>
        <w:rPr>
          <w:rFonts w:eastAsia="Times New Roman"/>
          <w:b/>
          <w:bCs/>
          <w:caps/>
          <w:color w:val="000080"/>
        </w:rPr>
        <w:t>О ПОРЯДКЕ АККУМУЛИРОВАНИЯ И ИСПОЛЬЗОВАНИЯ ФЕРМЕРСКИМИ ХОЗЯЙСТВАМИ ЧАСТИ СРЕДСТВ, ПОС</w:t>
      </w:r>
      <w:r>
        <w:rPr>
          <w:rFonts w:eastAsia="Times New Roman"/>
          <w:b/>
          <w:bCs/>
          <w:caps/>
          <w:color w:val="000080"/>
        </w:rPr>
        <w:t>ТУПАЮЩИХ ОТ ПОЛОЖИТЕЛЬНОЙ РАЗНИЦЫ МЕЖДУ ВНУТРЕННЕЙ И ФАКТИЧЕСКОЙ ЦЕНОЙ РЕАЛИЗАЦИИ ХЛОПКОВОГО ВОЛОКНА</w:t>
      </w:r>
    </w:p>
    <w:p w:rsidR="00000000" w:rsidRDefault="0026302C">
      <w:pPr>
        <w:shd w:val="clear" w:color="auto" w:fill="FFFFFF"/>
        <w:ind w:firstLine="851"/>
        <w:jc w:val="both"/>
        <w:divId w:val="1438259674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noProof/>
          <w:color w:val="800080"/>
          <w:sz w:val="22"/>
          <w:szCs w:val="22"/>
        </w:rPr>
        <w:drawing>
          <wp:inline distT="0" distB="0" distL="0" distR="0">
            <wp:extent cx="304800" cy="304800"/>
            <wp:effectExtent l="0" t="0" r="0" b="0"/>
            <wp:docPr id="1" name="Рисунок 1" descr="C:\image\favic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\favicon.gif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i/>
          <w:iCs/>
          <w:color w:val="800080"/>
          <w:sz w:val="22"/>
          <w:szCs w:val="22"/>
        </w:rPr>
        <w:t> Комментарий LexU</w:t>
      </w:r>
      <w:r>
        <w:rPr>
          <w:rFonts w:eastAsia="Times New Roman"/>
          <w:i/>
          <w:iCs/>
          <w:color w:val="800080"/>
          <w:sz w:val="22"/>
          <w:szCs w:val="22"/>
        </w:rPr>
        <w:t>z</w:t>
      </w:r>
    </w:p>
    <w:p w:rsidR="00000000" w:rsidRDefault="0026302C">
      <w:pPr>
        <w:shd w:val="clear" w:color="auto" w:fill="FFFFFF"/>
        <w:ind w:firstLine="851"/>
        <w:jc w:val="both"/>
        <w:divId w:val="6753475"/>
        <w:rPr>
          <w:rFonts w:eastAsia="Times New Roman"/>
          <w:i/>
          <w:iCs/>
          <w:color w:val="800080"/>
          <w:sz w:val="22"/>
          <w:szCs w:val="22"/>
        </w:rPr>
      </w:pPr>
      <w:r>
        <w:rPr>
          <w:rFonts w:eastAsia="Times New Roman"/>
          <w:i/>
          <w:iCs/>
          <w:color w:val="800080"/>
          <w:sz w:val="22"/>
          <w:szCs w:val="22"/>
        </w:rPr>
        <w:t xml:space="preserve">Настоящее постановление утратило силу в соответствии с </w:t>
      </w:r>
      <w:hyperlink r:id="rId6" w:anchor="356398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постановлением </w:t>
        </w:r>
      </w:hyperlink>
      <w:r>
        <w:rPr>
          <w:rFonts w:eastAsia="Times New Roman"/>
          <w:i/>
          <w:iCs/>
          <w:color w:val="800080"/>
          <w:sz w:val="22"/>
          <w:szCs w:val="22"/>
        </w:rPr>
        <w:t>Кабинета Министров от 15 февраля 2018 года № 121 «О внесении изменений и дополнений, а также признании утратившими силу некоторых решений Правительства Республики Узбекистан (Указ Президента Республики Узбеки</w:t>
      </w:r>
      <w:r>
        <w:rPr>
          <w:rFonts w:eastAsia="Times New Roman"/>
          <w:i/>
          <w:iCs/>
          <w:color w:val="800080"/>
          <w:sz w:val="22"/>
          <w:szCs w:val="22"/>
        </w:rPr>
        <w:t>стан от 17 октября 2017 года № УП-5206 «О признании утратившими силу некоторых актов Президента Республики Узбекистан» и постановление Президента Республики Узбекистан от 28 ноября 2017 года № ПП-3408 «О мерах по кардинальному совершенствованию системы упр</w:t>
      </w:r>
      <w:r>
        <w:rPr>
          <w:rFonts w:eastAsia="Times New Roman"/>
          <w:i/>
          <w:iCs/>
          <w:color w:val="800080"/>
          <w:sz w:val="22"/>
          <w:szCs w:val="22"/>
        </w:rPr>
        <w:t>авления хлопковой отраслью».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Во исполнение </w:t>
      </w:r>
      <w:hyperlink r:id="rId7" w:history="1">
        <w:r>
          <w:rPr>
            <w:rFonts w:eastAsia="Times New Roman"/>
            <w:color w:val="008080"/>
          </w:rPr>
          <w:t>постановления</w:t>
        </w:r>
      </w:hyperlink>
      <w:r>
        <w:rPr>
          <w:rFonts w:eastAsia="Times New Roman"/>
          <w:color w:val="000000"/>
        </w:rPr>
        <w:t xml:space="preserve"> Президента Республики Узбекистан от 30 декабря 2011 года № ПП-1675 «О прогнозе основных макроэкономических показателей и параметрах Государственного бюджета</w:t>
      </w:r>
      <w:r>
        <w:rPr>
          <w:rFonts w:eastAsia="Times New Roman"/>
          <w:color w:val="000000"/>
        </w:rPr>
        <w:t xml:space="preserve"> Республики Узбекистан на 2012 год», а также в целях стимулирования фермерских хозяйств, производящих хлопок-сырец для государственных нужд Кабинет Министров постановляет; 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(преамбула в редакции </w:t>
      </w:r>
      <w:hyperlink r:id="rId8" w:anchor="1968972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постановления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28 февраля 2012 года № 56 — СЗ РУ, 2012 г., № 8-9, ст. 85)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Утвердить </w:t>
      </w:r>
      <w:hyperlink r:id="rId9" w:history="1">
        <w:r>
          <w:rPr>
            <w:rFonts w:eastAsia="Times New Roman"/>
            <w:color w:val="008080"/>
          </w:rPr>
          <w:t xml:space="preserve">Положение </w:t>
        </w:r>
      </w:hyperlink>
      <w:r>
        <w:rPr>
          <w:rFonts w:eastAsia="Times New Roman"/>
          <w:color w:val="000000"/>
        </w:rPr>
        <w:t>о порядке аккумулирования и использования фермерскими хозяйствами части средств, поступающих от положительной разницы между внутренней и фактической ценой реализации хлопкового волокна, согласно приложению.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Принять предложение Министерства финансов Респ</w:t>
      </w:r>
      <w:r>
        <w:rPr>
          <w:rFonts w:eastAsia="Times New Roman"/>
          <w:color w:val="000000"/>
        </w:rPr>
        <w:t>ублики Узбекистан и ассоциации «Узпахтасаноат» об открытии специального счета Фонда для расчетов за сельскохозяйственную продукцию, закупаемую для государственных нужд, при Министерстве финансов Республики Узбекистан для аккумулирования и последующего напр</w:t>
      </w:r>
      <w:r>
        <w:rPr>
          <w:rFonts w:eastAsia="Times New Roman"/>
          <w:color w:val="000000"/>
        </w:rPr>
        <w:t>авления фермерским хозяйствам части средств от положительной разницы между внутренней и фактической ценой реализации хлопкового волокна (далее — положительная разница).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Возложить ответственность: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на руководителей холдинговой компании «Узпахтасаноатэкспо</w:t>
      </w:r>
      <w:r>
        <w:rPr>
          <w:rFonts w:eastAsia="Times New Roman"/>
          <w:color w:val="000000"/>
        </w:rPr>
        <w:t>рт» и Фонда для расчетов за сельскохозяйственную продукцию, закупаемую для государственных нужд, при Министерстве финансов Республики Узбекистан — за правильность расчетов положительной разницы;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второй пункта 3 в редакции </w:t>
      </w:r>
      <w:hyperlink r:id="rId10" w:anchor="285018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на руководителей территориальных филиалов АО «Узпахтасаноат» и хлопкоочистительных предп</w:t>
      </w:r>
      <w:r>
        <w:rPr>
          <w:rFonts w:eastAsia="Times New Roman"/>
          <w:color w:val="000000"/>
        </w:rPr>
        <w:t>риятий — за своевременность осуществления выплат положительной разницы фермерским хозяйствам;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третий пункта 3 в редакции </w:t>
      </w:r>
      <w:hyperlink r:id="rId11" w:anchor="2850182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</w:t>
      </w:r>
      <w:r>
        <w:rPr>
          <w:rFonts w:eastAsia="Times New Roman"/>
          <w:i/>
          <w:iCs/>
          <w:color w:val="800000"/>
          <w:sz w:val="22"/>
          <w:szCs w:val="22"/>
        </w:rPr>
        <w:t>тан от 25 декабря 2015 года № 372 — СЗ РУ, 2015 г., № 52, ст. 647)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на руководителей АО «Узкимёсаноат», АО «Узбекэнерго», АК «Узнефтмахсулот» и АО «Узагросервис», ООО «Агротехсервис», АО «Узагролизинг», ООО «Узмашлизинг» — за целевое направление поступивших</w:t>
      </w:r>
      <w:r>
        <w:rPr>
          <w:rFonts w:eastAsia="Times New Roman"/>
          <w:color w:val="000000"/>
        </w:rPr>
        <w:t xml:space="preserve"> от фермерских хозяйств средств положительной разницы для погашения задолженности предприятий отрасли перед Государственным бюджетом Республики Узбекистан и внебюджетными фондами; 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четвертый пункта 3 в редакции </w:t>
      </w:r>
      <w:hyperlink r:id="rId12" w:anchor="3251244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28 июня 2017 года № 442 — СЗ РУ, 2017 г., № 26, ст. 5)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4. Министерству финансов Республики Узбекистан в месячный срок привести свои нормативно-правовые акты в соответствие с настоящим постановлением.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5. Контроль за исполнением настоящего постановления возложить на первого заместителя Премьер-министра Республик</w:t>
      </w:r>
      <w:r>
        <w:rPr>
          <w:rFonts w:eastAsia="Times New Roman"/>
          <w:color w:val="000000"/>
        </w:rPr>
        <w:t>и Узбекистан Р.С. Азимова.</w:t>
      </w:r>
    </w:p>
    <w:p w:rsidR="00000000" w:rsidRDefault="0026302C">
      <w:pPr>
        <w:shd w:val="clear" w:color="auto" w:fill="FFFFFF"/>
        <w:jc w:val="right"/>
        <w:divId w:val="607933021"/>
        <w:rPr>
          <w:rFonts w:eastAsia="Times New Roman"/>
          <w:b/>
          <w:bCs/>
          <w:color w:val="000000"/>
        </w:rPr>
      </w:pPr>
      <w:r>
        <w:rPr>
          <w:rFonts w:eastAsia="Times New Roman"/>
          <w:b/>
          <w:bCs/>
          <w:color w:val="000000"/>
        </w:rPr>
        <w:t>Премьер-министр Республики Узбекистан Ш. МИРЗИЁЕВ</w:t>
      </w:r>
    </w:p>
    <w:p w:rsidR="00000000" w:rsidRDefault="0026302C">
      <w:pPr>
        <w:shd w:val="clear" w:color="auto" w:fill="FFFFFF"/>
        <w:jc w:val="center"/>
        <w:divId w:val="1407923776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г. Ташкент,</w:t>
      </w:r>
    </w:p>
    <w:p w:rsidR="00000000" w:rsidRDefault="0026302C">
      <w:pPr>
        <w:shd w:val="clear" w:color="auto" w:fill="FFFFFF"/>
        <w:jc w:val="center"/>
        <w:divId w:val="1217008447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4 февраля 2011 г.,</w:t>
      </w:r>
    </w:p>
    <w:p w:rsidR="00000000" w:rsidRDefault="0026302C">
      <w:pPr>
        <w:shd w:val="clear" w:color="auto" w:fill="FFFFFF"/>
        <w:jc w:val="center"/>
        <w:divId w:val="1853059992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t>№ 30</w:t>
      </w:r>
    </w:p>
    <w:p w:rsidR="00000000" w:rsidRDefault="0026302C">
      <w:pPr>
        <w:shd w:val="clear" w:color="auto" w:fill="FFFFFF"/>
        <w:jc w:val="center"/>
        <w:divId w:val="716465574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13" w:history="1">
        <w:r>
          <w:rPr>
            <w:rFonts w:eastAsia="Times New Roman"/>
            <w:color w:val="008080"/>
            <w:sz w:val="22"/>
            <w:szCs w:val="22"/>
          </w:rPr>
          <w:t xml:space="preserve">постановлению </w:t>
        </w:r>
      </w:hyperlink>
      <w:r>
        <w:rPr>
          <w:rFonts w:eastAsia="Times New Roman"/>
          <w:color w:val="000080"/>
          <w:sz w:val="22"/>
          <w:szCs w:val="22"/>
        </w:rPr>
        <w:t xml:space="preserve">Кабинета Министров от 4 февраля 2011 года № 30 </w:t>
      </w:r>
    </w:p>
    <w:p w:rsidR="00000000" w:rsidRDefault="0026302C">
      <w:pPr>
        <w:shd w:val="clear" w:color="auto" w:fill="FFFFFF"/>
        <w:jc w:val="center"/>
        <w:divId w:val="1400861806"/>
        <w:rPr>
          <w:rFonts w:eastAsia="Times New Roman"/>
          <w:caps/>
          <w:color w:val="000080"/>
        </w:rPr>
      </w:pPr>
      <w:r>
        <w:rPr>
          <w:rStyle w:val="a6"/>
          <w:rFonts w:eastAsia="Times New Roman"/>
          <w:caps/>
          <w:color w:val="000080"/>
        </w:rPr>
        <w:t>Положение</w:t>
      </w:r>
    </w:p>
    <w:p w:rsidR="00000000" w:rsidRDefault="0026302C">
      <w:pPr>
        <w:shd w:val="clear" w:color="auto" w:fill="FFFFFF"/>
        <w:jc w:val="center"/>
        <w:divId w:val="736830603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 xml:space="preserve">о порядке аккумулирования и использования фермерскими хозяйствами части средств, поступающих от положительной разницы между внутренней и фактической ценой реализации хлопкового волокна </w:t>
      </w:r>
    </w:p>
    <w:p w:rsidR="00000000" w:rsidRDefault="0026302C">
      <w:pPr>
        <w:shd w:val="clear" w:color="auto" w:fill="FFFFFF"/>
        <w:jc w:val="center"/>
        <w:divId w:val="219948579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I. Общие положения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1. Настоящее Положение в соответствии с </w:t>
      </w:r>
      <w:hyperlink r:id="rId14" w:history="1">
        <w:r>
          <w:rPr>
            <w:rFonts w:eastAsia="Times New Roman"/>
            <w:color w:val="008080"/>
          </w:rPr>
          <w:t>постановлением</w:t>
        </w:r>
      </w:hyperlink>
      <w:r>
        <w:rPr>
          <w:rFonts w:eastAsia="Times New Roman"/>
          <w:color w:val="000000"/>
        </w:rPr>
        <w:t xml:space="preserve"> Президента Республики Узбекистан от 30 декабря 2011 года № ПП-1675 «О прогнозе основных макроэкономических показателей и параметрах Государственного бюджета Республики Узбекистан на 2012 год» определяет порядо</w:t>
      </w:r>
      <w:r>
        <w:rPr>
          <w:rFonts w:eastAsia="Times New Roman"/>
          <w:color w:val="000000"/>
        </w:rPr>
        <w:t>к аккумулирования и использования фермерскими хозяйствами, производящими хлопок-сырец, 50 процентов положительной разницы между внутренней (с учетом затрат по реализации) и фактической ценой реализации хлопкового волокна (далее — положительная разница).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(п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ункт 1 в редакции </w:t>
      </w:r>
      <w:hyperlink r:id="rId15" w:anchor="1968976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постановления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 xml:space="preserve"> Кабинета Министров Республики Узбекистан от 28 февраля 2012 года № 56 — СЗ РУ, 2012 г., № 8-9, ст. 85)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 Положительная разница определяется в уста</w:t>
      </w:r>
      <w:r>
        <w:rPr>
          <w:rFonts w:eastAsia="Times New Roman"/>
          <w:color w:val="000000"/>
        </w:rPr>
        <w:t>новленном порядке в соответствии с законодательством.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3. Для аккумулирования средств в размере 50 процентов от положительной разницы и их целевого использования в обслуживающем банке открывается в установленном порядке специальный счет № 23226 Фонду целево</w:t>
      </w:r>
      <w:r>
        <w:rPr>
          <w:rFonts w:eastAsia="Times New Roman"/>
          <w:color w:val="000000"/>
        </w:rPr>
        <w:t>го финансирования государственных закупок сельскохозяйственной продукции и оснащения техникой сельского хозяйства при Кабинете Министров Республики Узбекистан (далее — Фонд), территориальным филиалам АО «Узпахтасаноат», хлопкоочистительным предприятиям и о</w:t>
      </w:r>
      <w:r>
        <w:rPr>
          <w:rFonts w:eastAsia="Times New Roman"/>
          <w:color w:val="000000"/>
        </w:rPr>
        <w:t>рганизациям АО «Узкимёсаноат», АО «Узбекэнерго», АК «Узнефтмахсулот», АО «Узагросервис», ООО «Агротехсервис», АО «Узагролизинг», ООО «Узмашлизинг» (далее — обслуживающие отрасли), а также фермерским хозяйствам.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3 в редакции </w:t>
      </w:r>
      <w:hyperlink r:id="rId16" w:anchor="3251251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28 июня 2017 года № 442 — СЗ РУ, 2017 г., № 26, ст. 5)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4. На открытые специальные счета № 23226 не распространяются требования законодательства о </w:t>
      </w:r>
      <w:r>
        <w:rPr>
          <w:rFonts w:eastAsia="Times New Roman"/>
          <w:color w:val="000000"/>
        </w:rPr>
        <w:t>порядке списания денежных средств с банковских счетов хозяйствующих субъектов при недостаточности денежных средств на их банковских счетах.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4 в редакции </w:t>
      </w:r>
      <w:hyperlink r:id="rId17" w:anchor="2850185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</w:t>
      </w:r>
      <w:r>
        <w:rPr>
          <w:rFonts w:eastAsia="Times New Roman"/>
          <w:i/>
          <w:iCs/>
          <w:color w:val="800000"/>
          <w:sz w:val="22"/>
          <w:szCs w:val="22"/>
        </w:rPr>
        <w:t>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jc w:val="center"/>
        <w:divId w:val="226652743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II. Порядок аккумулирования и использования суммы положительной разницы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5. АО «Узпахтасаноат» до 5 декабря урожайного года (по урожаю 2010 года до 5 февраля </w:t>
      </w:r>
      <w:r>
        <w:rPr>
          <w:rFonts w:eastAsia="Times New Roman"/>
          <w:color w:val="000000"/>
        </w:rPr>
        <w:t xml:space="preserve">2011 года) представляет Фонду информацию о фактической стоимости заготовленного объема хлопка-сырца по форме согласно </w:t>
      </w:r>
      <w:hyperlink r:id="rId18" w:history="1">
        <w:r>
          <w:rPr>
            <w:rFonts w:eastAsia="Times New Roman"/>
            <w:color w:val="008080"/>
          </w:rPr>
          <w:t>приложению 1</w:t>
        </w:r>
      </w:hyperlink>
      <w:r>
        <w:rPr>
          <w:rFonts w:eastAsia="Times New Roman"/>
          <w:color w:val="000000"/>
        </w:rPr>
        <w:t xml:space="preserve"> к настоящему Положению.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5 в редакции </w:t>
      </w:r>
      <w:hyperlink r:id="rId19" w:anchor="2850187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6. Территориальный филиал АО «Узпахтасаноат» по мере поступления средств от реализации хлопково</w:t>
      </w:r>
      <w:r>
        <w:rPr>
          <w:rFonts w:eastAsia="Times New Roman"/>
          <w:color w:val="000000"/>
        </w:rPr>
        <w:t>го волокна в течение одного рабочего дня 50 процентов от суммы положительной разницы платежным поручением перечисляют на специальный счет № 23226 Фонда.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6 в редакции </w:t>
      </w:r>
      <w:hyperlink r:id="rId20" w:anchor="2850188" w:history="1">
        <w:r>
          <w:rPr>
            <w:rFonts w:eastAsia="Times New Roman"/>
            <w:i/>
            <w:iCs/>
            <w:color w:val="008080"/>
            <w:sz w:val="22"/>
            <w:szCs w:val="22"/>
          </w:rPr>
          <w:t>постан</w:t>
        </w:r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7. Фондом ежемесячно не позднее 5 числа аккумулированные на специальном счете № 23226 средства перечисляются на специальный счет № 23226 Террито</w:t>
      </w:r>
      <w:r>
        <w:rPr>
          <w:rFonts w:eastAsia="Times New Roman"/>
          <w:color w:val="000000"/>
        </w:rPr>
        <w:t xml:space="preserve">риальный филиал АО «Узпахтасаноат» в соответствии с расчетом распределения суммы положительной разницы по территориальный филиал АО «Узпахтасаноат» по форме согласно </w:t>
      </w:r>
      <w:hyperlink r:id="rId21" w:history="1">
        <w:r>
          <w:rPr>
            <w:rFonts w:eastAsia="Times New Roman"/>
            <w:color w:val="008080"/>
          </w:rPr>
          <w:t>приложению 2</w:t>
        </w:r>
      </w:hyperlink>
      <w:r>
        <w:rPr>
          <w:rFonts w:eastAsia="Times New Roman"/>
          <w:color w:val="000000"/>
        </w:rPr>
        <w:t xml:space="preserve"> к настоящему Положению.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Террит</w:t>
      </w:r>
      <w:r>
        <w:rPr>
          <w:rFonts w:eastAsia="Times New Roman"/>
          <w:color w:val="000000"/>
        </w:rPr>
        <w:t>ориальный филиал АО «Узпахтасаноат» в течение одного рабочего дня перечисляют поступившие средства на специальный счет № 23226 хлопкоочистительных предприятий в соответствии с расчетом распределения суммы положительной разницы по хлопкоочистительным предпр</w:t>
      </w:r>
      <w:r>
        <w:rPr>
          <w:rFonts w:eastAsia="Times New Roman"/>
          <w:color w:val="000000"/>
        </w:rPr>
        <w:t xml:space="preserve">иятиям по форме согласно </w:t>
      </w:r>
      <w:hyperlink r:id="rId22" w:history="1">
        <w:r>
          <w:rPr>
            <w:rFonts w:eastAsia="Times New Roman"/>
            <w:color w:val="008080"/>
          </w:rPr>
          <w:t>приложению 3</w:t>
        </w:r>
      </w:hyperlink>
      <w:r>
        <w:rPr>
          <w:rFonts w:eastAsia="Times New Roman"/>
          <w:color w:val="000000"/>
        </w:rPr>
        <w:t xml:space="preserve"> к настоящему Положению.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Хлопкоочистительные предприятия в течение трех рабочих дней перечисляют средства на специальный счет № 23226 фермерских хозяйств в соответствии с расчетом распределения суммы положительной разницы по фермерским хозяйствам по форме согласно </w:t>
      </w:r>
      <w:hyperlink r:id="rId23" w:history="1">
        <w:r>
          <w:rPr>
            <w:rFonts w:eastAsia="Times New Roman"/>
            <w:color w:val="008080"/>
          </w:rPr>
          <w:t>приложению 4</w:t>
        </w:r>
      </w:hyperlink>
      <w:r>
        <w:rPr>
          <w:rFonts w:eastAsia="Times New Roman"/>
          <w:color w:val="000000"/>
        </w:rPr>
        <w:t xml:space="preserve"> к настоящему Положению.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Аккумулированные средства положительной разницы по новому урожаю направляются фермерским хозяйствам в последовательности, установленной настоящим пунктом, только после представления АО «Уз</w:t>
      </w:r>
      <w:r>
        <w:rPr>
          <w:rFonts w:eastAsia="Times New Roman"/>
          <w:color w:val="000000"/>
        </w:rPr>
        <w:t xml:space="preserve">пахтасаноат» информации согласно </w:t>
      </w:r>
      <w:hyperlink r:id="rId24" w:history="1">
        <w:r>
          <w:rPr>
            <w:rFonts w:eastAsia="Times New Roman"/>
            <w:color w:val="008080"/>
          </w:rPr>
          <w:t>пункту 5</w:t>
        </w:r>
      </w:hyperlink>
      <w:r>
        <w:rPr>
          <w:rFonts w:eastAsia="Times New Roman"/>
          <w:color w:val="000000"/>
        </w:rPr>
        <w:t xml:space="preserve"> настоящего Положения.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(пункт 7 в редакции </w:t>
      </w:r>
      <w:hyperlink r:id="rId25" w:anchor="2850189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8. Средства, поступившие на специальный счет № 23226 фермерских хозяйств, в течение двух рабочих дней, согласно платежным требованиям, направляются проп</w:t>
      </w:r>
      <w:r>
        <w:rPr>
          <w:rFonts w:eastAsia="Times New Roman"/>
          <w:color w:val="000000"/>
        </w:rPr>
        <w:t>орционально для погашения задолженности фермерских хозяйств перед Государственным бюджетом и внебюджетными фондами, а также за поставленные материально-технические ресурсы и оказанные услуги организациям обслуживающих отраслей по маршрутам, согласованным М</w:t>
      </w:r>
      <w:r>
        <w:rPr>
          <w:rFonts w:eastAsia="Times New Roman"/>
          <w:color w:val="000000"/>
        </w:rPr>
        <w:t>инистерством финансов, Государственным налоговым комитетом и Министерством сельского и водного хозяйства Республики Узбекистан.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9. В случае отсутствия у фермерских хозяйств кредиторской задолженности перед Государственным бюджетом и внебюджетными фондами, </w:t>
      </w:r>
      <w:r>
        <w:rPr>
          <w:rFonts w:eastAsia="Times New Roman"/>
          <w:color w:val="000000"/>
        </w:rPr>
        <w:t>а также организациями обслуживающих отраслей средства используются для предоплаты за материально-технические ресурсы и услуги обслуживающих отраслей.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10. Сумма, причитающаяся фермерским хозяйствам, ликвидированным в процессе оптимизации, согласно распоряже</w:t>
      </w:r>
      <w:r>
        <w:rPr>
          <w:rFonts w:eastAsia="Times New Roman"/>
          <w:color w:val="000000"/>
        </w:rPr>
        <w:t>нию Президента Республики Узбекистан от 18 октября 2010 года № Р-3512 «О мерах по дальнейшей оптимизации размеров земельных участков, находящихся в ведении фермерских хозяйств», направляется фермерским хозяйствам, принявшим обязательства ликвидированных фе</w:t>
      </w:r>
      <w:r>
        <w:rPr>
          <w:rFonts w:eastAsia="Times New Roman"/>
          <w:color w:val="000000"/>
        </w:rPr>
        <w:t>рмерских хозяйств.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11. Средства, поступившие на специальные счета № 23226 организаций обслуживающих отраслей, направляются платежными поручениями на погашение задолженности перед Государственным бюджетом и внебюджетными фондами.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Средства, поступившие на сп</w:t>
      </w:r>
      <w:r>
        <w:rPr>
          <w:rFonts w:eastAsia="Times New Roman"/>
          <w:color w:val="000000"/>
        </w:rPr>
        <w:t>ециальные счета № 23226 АО «Узагролизинг», ООО «Узмашлизинг» направляются в полном объеме платежными поручениями на погашение задолженности перед Государственным бюджетом Республики Узбекистан и внебюджетным фондами, а также Фондом государственного стимули</w:t>
      </w:r>
      <w:r>
        <w:rPr>
          <w:rFonts w:eastAsia="Times New Roman"/>
          <w:color w:val="000000"/>
        </w:rPr>
        <w:t xml:space="preserve">рования оснащения села сельскохозяйственной техникой при Министерстве финансов Республики Узбекистан согласно </w:t>
      </w:r>
      <w:hyperlink r:id="rId26" w:history="1">
        <w:r>
          <w:rPr>
            <w:rFonts w:eastAsia="Times New Roman"/>
            <w:color w:val="008080"/>
          </w:rPr>
          <w:t>постановлению</w:t>
        </w:r>
      </w:hyperlink>
      <w:r>
        <w:rPr>
          <w:rFonts w:eastAsia="Times New Roman"/>
          <w:color w:val="000000"/>
        </w:rPr>
        <w:t xml:space="preserve"> Кабинета Министров Республики Узбекистан от 2 ноября 2000 г. № 424 «О мерах по обеспечению</w:t>
      </w:r>
      <w:r>
        <w:rPr>
          <w:rFonts w:eastAsia="Times New Roman"/>
          <w:color w:val="000000"/>
        </w:rPr>
        <w:t xml:space="preserve"> села сельскохозяйственной техникой на условиях лизинга.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(абзац второй пункта 11 в редакции </w:t>
      </w:r>
      <w:hyperlink r:id="rId27" w:anchor="3251253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 xml:space="preserve">Кабинета Министров Республики Узбекистан от 28 июня 2017 года № 442 — СЗ </w:t>
      </w:r>
      <w:r>
        <w:rPr>
          <w:rFonts w:eastAsia="Times New Roman"/>
          <w:i/>
          <w:iCs/>
          <w:color w:val="800000"/>
          <w:sz w:val="22"/>
          <w:szCs w:val="22"/>
        </w:rPr>
        <w:t>РУ, 2017 г., № 26, ст. 5)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При отсутствии задолженности перед бюджетом и внебюджетными фондами средства направляются платежным поручением на погашение кредиторской задолженности, в том числе внутрисистемной, с последующим направлением в Государственный бюдж</w:t>
      </w:r>
      <w:r>
        <w:rPr>
          <w:rFonts w:eastAsia="Times New Roman"/>
          <w:color w:val="000000"/>
        </w:rPr>
        <w:t>ет и внебюджетные фонды.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12. В отдельных случаях при необходимости проведения агротехнических мероприятий, связанных с погодными условиями или состоянием посевов, средства фермерских хозяйств могут быть направлены на погашение задолженности или на предопла</w:t>
      </w:r>
      <w:r>
        <w:rPr>
          <w:rFonts w:eastAsia="Times New Roman"/>
          <w:color w:val="000000"/>
        </w:rPr>
        <w:t>ту организациям обслуживающих отраслей согласно совместным письменным указаниям Министерства финансов, Государственного налогового комитета и Министерства сельского и водного хозяйства Республики Узбекистан.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13. Персональная ответственность за обеспечение </w:t>
      </w:r>
      <w:r>
        <w:rPr>
          <w:rFonts w:eastAsia="Times New Roman"/>
          <w:color w:val="000000"/>
        </w:rPr>
        <w:t>осуществления платежей и расчетов строго в соответствии с требованиями настоящего положения возлагается на руководителей территориальных филиалов «Узпахтасаноат», филиалов коммерческих банков и организаций, участвующих в процессе их осуществления.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(пункт 1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3 в редакции </w:t>
      </w:r>
      <w:hyperlink r:id="rId28" w:anchor="2850193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14. Обслуживающими филиалами банков осуществляет</w:t>
      </w:r>
      <w:r>
        <w:rPr>
          <w:rFonts w:eastAsia="Times New Roman"/>
          <w:color w:val="000000"/>
        </w:rPr>
        <w:t>ся ежедневный мониторинг прохождения средств и через их центральные аппараты информация представляется Центральному банку Республики Узбекистан и Фонду.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15. Контроль за правильностью осуществления всех расчетов в соответствии с настоящим положением возлага</w:t>
      </w:r>
      <w:r>
        <w:rPr>
          <w:rFonts w:eastAsia="Times New Roman"/>
          <w:color w:val="000000"/>
        </w:rPr>
        <w:t>ется на Главное контрольно-ревизионное управление Министерства финансов и Государственный налоговый комитет Республики Узбекистан.</w:t>
      </w:r>
    </w:p>
    <w:p w:rsidR="00000000" w:rsidRDefault="0026302C">
      <w:pPr>
        <w:shd w:val="clear" w:color="auto" w:fill="FFFFFF"/>
        <w:jc w:val="center"/>
        <w:divId w:val="880701686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1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29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>о порядке аккумулирования и использования фермерским</w:t>
      </w:r>
      <w:r>
        <w:rPr>
          <w:rFonts w:eastAsia="Times New Roman"/>
          <w:color w:val="000080"/>
          <w:sz w:val="22"/>
          <w:szCs w:val="22"/>
        </w:rPr>
        <w:t xml:space="preserve">и хозяйствами части средств, поступающих от положительной разницы между внутренней и фактической ценой реализации хлопкового волокна </w:t>
      </w:r>
    </w:p>
    <w:p w:rsidR="00000000" w:rsidRDefault="0026302C">
      <w:pPr>
        <w:shd w:val="clear" w:color="auto" w:fill="FFFFFF"/>
        <w:jc w:val="center"/>
        <w:divId w:val="1400861806"/>
        <w:rPr>
          <w:rFonts w:eastAsia="Times New Roman"/>
          <w:caps/>
          <w:color w:val="000080"/>
        </w:rPr>
      </w:pPr>
      <w:r>
        <w:rPr>
          <w:rStyle w:val="a6"/>
          <w:rFonts w:eastAsia="Times New Roman"/>
          <w:caps/>
          <w:color w:val="000080"/>
        </w:rPr>
        <w:t>ИНФОРМАЦИЯ</w:t>
      </w:r>
    </w:p>
    <w:p w:rsidR="00000000" w:rsidRDefault="0026302C">
      <w:pPr>
        <w:shd w:val="clear" w:color="auto" w:fill="FFFFFF"/>
        <w:jc w:val="center"/>
        <w:divId w:val="1221092545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 xml:space="preserve">о фактической стоимости заготовленного объема хлопка-сырца урожая 201_ г.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144"/>
        <w:gridCol w:w="480"/>
      </w:tblGrid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Наименование территориальных филиалов «Узпахтасаноат»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Общая стоимость заготовленного хлопка-сырца (млн сум.)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Доля территориальных филиалов «Узпахтасаноат»</w:t>
            </w:r>
            <w:r>
              <w:rPr>
                <w:rStyle w:val="a6"/>
                <w:color w:val="000000"/>
                <w:sz w:val="20"/>
                <w:szCs w:val="20"/>
              </w:rPr>
              <w:t xml:space="preserve"> (%</w:t>
            </w:r>
            <w:r>
              <w:rPr>
                <w:rStyle w:val="a6"/>
                <w:color w:val="000000"/>
              </w:rPr>
              <w:t xml:space="preserve">) </w:t>
            </w: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4</w:t>
            </w: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Style w:val="a6"/>
                <w:rFonts w:eastAsia="Times New Roman"/>
                <w:color w:val="000000"/>
              </w:rPr>
              <w:t>Всего:</w:t>
            </w:r>
          </w:p>
        </w:tc>
        <w:tc>
          <w:tcPr>
            <w:tcW w:w="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 том числе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Генеральный директор АО «Узпахтасаноат»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__________________________________</w:t>
            </w: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(подпись)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(Ф.И.О.) </w:t>
            </w: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Главный 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__________________________________</w:t>
            </w: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(Ф.И.О.)</w:t>
            </w:r>
          </w:p>
        </w:tc>
      </w:tr>
      <w:tr w:rsidR="00000000">
        <w:trPr>
          <w:divId w:val="19708916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(приложение № 1 в редакции</w:t>
      </w:r>
      <w:r>
        <w:rPr>
          <w:rFonts w:eastAsia="Times New Roman"/>
          <w:i/>
          <w:iCs/>
          <w:color w:val="800000"/>
          <w:sz w:val="22"/>
          <w:szCs w:val="22"/>
        </w:rPr>
        <w:t xml:space="preserve"> </w:t>
      </w:r>
      <w:hyperlink r:id="rId30" w:anchor="2850194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jc w:val="center"/>
        <w:divId w:val="926109518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ПРИЛОЖЕНИЕ 2 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31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аккумулирования и использования фермерскими хозяйствами части средств, поступающих от положительной разницы между внутренней и фактической ценой реализации хлопкового волокна </w:t>
      </w:r>
    </w:p>
    <w:p w:rsidR="00000000" w:rsidRDefault="0026302C">
      <w:pPr>
        <w:shd w:val="clear" w:color="auto" w:fill="FFFFFF"/>
        <w:jc w:val="center"/>
        <w:divId w:val="1400861806"/>
        <w:rPr>
          <w:rFonts w:eastAsia="Times New Roman"/>
          <w:caps/>
          <w:color w:val="000080"/>
        </w:rPr>
      </w:pPr>
      <w:r>
        <w:rPr>
          <w:rStyle w:val="a6"/>
          <w:rFonts w:eastAsia="Times New Roman"/>
          <w:caps/>
          <w:color w:val="000080"/>
        </w:rPr>
        <w:t>РАСЧЕТ</w:t>
      </w:r>
    </w:p>
    <w:p w:rsidR="00000000" w:rsidRDefault="0026302C">
      <w:pPr>
        <w:shd w:val="clear" w:color="auto" w:fill="FFFFFF"/>
        <w:jc w:val="center"/>
        <w:divId w:val="1887719577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распределения суммы положительной разницы по терри</w:t>
      </w:r>
      <w:r>
        <w:rPr>
          <w:rFonts w:eastAsia="Times New Roman"/>
          <w:b/>
          <w:bCs/>
          <w:color w:val="000080"/>
        </w:rPr>
        <w:t>ториальным филиалам АО «Узпахтасаноат» в размере _____ млн.сум, накопленной за ________ месяц 201_ года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(наименование приложение № 2 в редакции </w:t>
      </w:r>
      <w:hyperlink r:id="rId32" w:anchor="2850199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320"/>
        <w:gridCol w:w="320"/>
        <w:gridCol w:w="160"/>
        <w:gridCol w:w="320"/>
      </w:tblGrid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Наименование территориальных филиалов «Узпахтасаноат»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Доля территориальных филиалов «Узпахтасаноат» (%)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 xml:space="preserve">Причитающаяся сумма положительной разницы </w:t>
            </w:r>
            <w:r>
              <w:rPr>
                <w:rStyle w:val="a6"/>
                <w:color w:val="000000"/>
              </w:rPr>
              <w:t>(млн. сум)</w:t>
            </w: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4</w:t>
            </w: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ТАО______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9276098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Директор Фонда для расчетов за сельскохозяйственную продукцию, закупаемую для государственных нужд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</w:t>
            </w:r>
          </w:p>
        </w:tc>
      </w:tr>
      <w:tr w:rsidR="00000000">
        <w:trPr>
          <w:divId w:val="449276098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(Ф.И.О.)</w:t>
            </w:r>
          </w:p>
        </w:tc>
      </w:tr>
      <w:tr w:rsidR="00000000">
        <w:trPr>
          <w:divId w:val="44927609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Главный 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</w:t>
            </w: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(Ф.И.О.)</w:t>
            </w:r>
          </w:p>
        </w:tc>
      </w:tr>
      <w:tr w:rsidR="00000000">
        <w:trPr>
          <w:divId w:val="449276098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Генеральный директор АО «Узпахтасаноат»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</w:t>
            </w: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(Ф.И.О.)</w:t>
            </w:r>
          </w:p>
        </w:tc>
      </w:tr>
      <w:tr w:rsidR="00000000">
        <w:trPr>
          <w:divId w:val="449276098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Главный 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</w:t>
            </w:r>
          </w:p>
        </w:tc>
      </w:tr>
      <w:tr w:rsidR="00000000">
        <w:trPr>
          <w:divId w:val="4492760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(подпись)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(Ф.И.О.) </w:t>
            </w:r>
          </w:p>
        </w:tc>
      </w:tr>
    </w:tbl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(приложение № 2 в редакции </w:t>
      </w:r>
      <w:hyperlink r:id="rId33" w:anchor="2850198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jc w:val="center"/>
        <w:divId w:val="283730789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>ПРИЛОЖЕНИЕ 3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34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аккумулирования и использования фермерскими хозяйствами части средств, поступающих от положительной разницы между внутренней и фактической ценой реализации хлопкового волокна </w:t>
      </w:r>
    </w:p>
    <w:p w:rsidR="00000000" w:rsidRDefault="0026302C">
      <w:pPr>
        <w:shd w:val="clear" w:color="auto" w:fill="FFFFFF"/>
        <w:jc w:val="center"/>
        <w:divId w:val="1400861806"/>
        <w:rPr>
          <w:rFonts w:eastAsia="Times New Roman"/>
          <w:caps/>
          <w:color w:val="000080"/>
        </w:rPr>
      </w:pPr>
      <w:r>
        <w:rPr>
          <w:rStyle w:val="a6"/>
          <w:rFonts w:eastAsia="Times New Roman"/>
          <w:caps/>
          <w:color w:val="000080"/>
        </w:rPr>
        <w:t>РАСЧЕТ</w:t>
      </w:r>
    </w:p>
    <w:p w:rsidR="00000000" w:rsidRDefault="0026302C">
      <w:pPr>
        <w:shd w:val="clear" w:color="auto" w:fill="FFFFFF"/>
        <w:jc w:val="center"/>
        <w:divId w:val="1219050959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распределения суммы положительной разницы по хлопкоо</w:t>
      </w:r>
      <w:r>
        <w:rPr>
          <w:rFonts w:eastAsia="Times New Roman"/>
          <w:b/>
          <w:bCs/>
          <w:color w:val="000080"/>
        </w:rPr>
        <w:t xml:space="preserve">чистительным предприятиям в размере ______ млн.сум, причитающейся территориальному филиалу «Узпахтасаноат» ________ области (Республике) за ________ месяц 201_ года 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240"/>
        <w:gridCol w:w="240"/>
      </w:tblGrid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Наименование хлопкоочистительных предприятий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Общая стоимость заготовленного хлопка-с</w:t>
            </w:r>
            <w:r>
              <w:rPr>
                <w:rStyle w:val="a6"/>
                <w:color w:val="000000"/>
              </w:rPr>
              <w:t xml:space="preserve">ырца (млн. сум)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Доля хлопкоочистительных предприятий (%)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Причитающаяся сумма положительной разницы</w:t>
            </w:r>
            <w:hyperlink r:id="rId35" w:history="1">
              <w:r>
                <w:rPr>
                  <w:rStyle w:val="a6"/>
                  <w:color w:val="008080"/>
                </w:rPr>
                <w:t>*</w:t>
              </w:r>
            </w:hyperlink>
            <w:r>
              <w:rPr>
                <w:rStyle w:val="a6"/>
                <w:color w:val="000000"/>
              </w:rPr>
              <w:t xml:space="preserve"> (млн. сум) </w:t>
            </w: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5</w:t>
            </w: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Всего: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в том числе по хлопкоочистительным предприятиям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Директор территориального филиала «Узпахтасаноат»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__________________________</w:t>
            </w: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(Ф.И.О.)</w:t>
            </w: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4484202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Главный бухгалтер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__________________________</w:t>
            </w:r>
          </w:p>
        </w:tc>
      </w:tr>
      <w:tr w:rsidR="00000000">
        <w:trPr>
          <w:divId w:val="448420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(Ф.И.О.) </w:t>
            </w:r>
          </w:p>
        </w:tc>
      </w:tr>
    </w:tbl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Сумма положительной разницы распределяется пропорционально долям хлопкоочистительных предприятий в общей стоимости заготовленного по области (Республике Каракалпакстан) хлопка-сырца. </w:t>
      </w:r>
    </w:p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 xml:space="preserve">(приложение № 3 в редакции </w:t>
      </w:r>
      <w:hyperlink r:id="rId36" w:anchor="2850203" w:history="1">
        <w:r>
          <w:rPr>
            <w:rFonts w:eastAsia="Times New Roman"/>
            <w:i/>
            <w:iCs/>
            <w:color w:val="008080"/>
            <w:sz w:val="22"/>
            <w:szCs w:val="22"/>
          </w:rPr>
          <w:t xml:space="preserve">постановления </w:t>
        </w:r>
      </w:hyperlink>
      <w:r>
        <w:rPr>
          <w:rFonts w:eastAsia="Times New Roman"/>
          <w:i/>
          <w:iCs/>
          <w:color w:val="800000"/>
          <w:sz w:val="22"/>
          <w:szCs w:val="22"/>
        </w:rPr>
        <w:t>Кабинета Министров Республики Узбекистан от 25 декабря 2015 года № 372 — СЗ РУ, 2015 г., № 52, ст. 647)</w:t>
      </w:r>
    </w:p>
    <w:p w:rsidR="00000000" w:rsidRDefault="0026302C">
      <w:pPr>
        <w:shd w:val="clear" w:color="auto" w:fill="FFFFFF"/>
        <w:jc w:val="center"/>
        <w:divId w:val="59451118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>ПРИЛОЖЕНИЕ 4</w:t>
      </w:r>
      <w:r>
        <w:rPr>
          <w:rFonts w:eastAsia="Times New Roman"/>
          <w:color w:val="000080"/>
          <w:sz w:val="22"/>
          <w:szCs w:val="22"/>
        </w:rPr>
        <w:br/>
        <w:t xml:space="preserve">к </w:t>
      </w:r>
      <w:hyperlink r:id="rId37" w:history="1">
        <w:r>
          <w:rPr>
            <w:rFonts w:eastAsia="Times New Roman"/>
            <w:color w:val="008080"/>
            <w:sz w:val="22"/>
            <w:szCs w:val="22"/>
          </w:rPr>
          <w:t xml:space="preserve">Положению </w:t>
        </w:r>
      </w:hyperlink>
      <w:r>
        <w:rPr>
          <w:rFonts w:eastAsia="Times New Roman"/>
          <w:color w:val="000080"/>
          <w:sz w:val="22"/>
          <w:szCs w:val="22"/>
        </w:rPr>
        <w:t xml:space="preserve">о порядке аккумулирования и использования фермерскими хозяйствами части средств, поступающих от положительной разницы между внутренней и фактической ценой реализации хлопкового волокна </w:t>
      </w:r>
    </w:p>
    <w:p w:rsidR="00000000" w:rsidRDefault="0026302C">
      <w:pPr>
        <w:shd w:val="clear" w:color="auto" w:fill="FFFFFF"/>
        <w:jc w:val="center"/>
        <w:divId w:val="1400861806"/>
        <w:rPr>
          <w:rFonts w:eastAsia="Times New Roman"/>
          <w:caps/>
          <w:color w:val="000080"/>
        </w:rPr>
      </w:pPr>
      <w:r>
        <w:rPr>
          <w:rStyle w:val="a6"/>
          <w:rFonts w:eastAsia="Times New Roman"/>
          <w:caps/>
          <w:color w:val="000080"/>
        </w:rPr>
        <w:t>РАСЧЕТ</w:t>
      </w:r>
    </w:p>
    <w:p w:rsidR="00000000" w:rsidRDefault="0026302C">
      <w:pPr>
        <w:shd w:val="clear" w:color="auto" w:fill="FFFFFF"/>
        <w:jc w:val="center"/>
        <w:divId w:val="132522689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распределения суммы положительной разницы по фермерс</w:t>
      </w:r>
      <w:r>
        <w:rPr>
          <w:rFonts w:eastAsia="Times New Roman"/>
          <w:b/>
          <w:bCs/>
          <w:color w:val="000080"/>
        </w:rPr>
        <w:t>ким хозяйствам в размере ______ млн.сум, причитающейся __________ хлопкоочистительному предприятию за _____ месяц 201_ года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240"/>
        <w:gridCol w:w="240"/>
      </w:tblGrid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№№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Наименование фермерских хозяйств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Общая стоимость заготовленного хлопка-сырца (млн. сум)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 xml:space="preserve">Доля фермерских хозяйств, ( %)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Причитающаяся сумма положительной разницы</w:t>
            </w:r>
            <w:hyperlink r:id="rId38" w:history="1">
              <w:r>
                <w:rPr>
                  <w:rStyle w:val="a6"/>
                  <w:color w:val="008080"/>
                </w:rPr>
                <w:t>*</w:t>
              </w:r>
            </w:hyperlink>
            <w:r>
              <w:rPr>
                <w:rStyle w:val="a6"/>
                <w:color w:val="000000"/>
              </w:rPr>
              <w:t xml:space="preserve"> (млн. сум) </w:t>
            </w: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5</w:t>
            </w: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rStyle w:val="a6"/>
                <w:color w:val="000000"/>
              </w:rPr>
              <w:t>Всего: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в том числе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_________ ф/х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хлопкоочистительного предприятия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____________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__________________________ </w:t>
            </w: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(Ф.И.О.)</w:t>
            </w: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>М.П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  <w:r>
              <w:rPr>
                <w:color w:val="000000"/>
              </w:rPr>
              <w:t xml:space="preserve">Главный бухгалтер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____________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__________________________ </w:t>
            </w:r>
          </w:p>
        </w:tc>
      </w:tr>
      <w:tr w:rsidR="00000000">
        <w:trPr>
          <w:divId w:val="19900937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>(подпись)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26302C">
            <w:pPr>
              <w:jc w:val="center"/>
              <w:rPr>
                <w:color w:val="000000"/>
              </w:rPr>
            </w:pPr>
            <w:r>
              <w:rPr>
                <w:color w:val="000000"/>
                <w:vertAlign w:val="superscript"/>
              </w:rPr>
              <w:t xml:space="preserve">(Ф.И.О.) </w:t>
            </w:r>
          </w:p>
        </w:tc>
      </w:tr>
    </w:tbl>
    <w:p w:rsidR="00000000" w:rsidRDefault="0026302C">
      <w:pPr>
        <w:shd w:val="clear" w:color="auto" w:fill="FFFFFF"/>
        <w:ind w:firstLine="851"/>
        <w:jc w:val="both"/>
        <w:divId w:val="1400861806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Сумма положительной разницы распределяется пропорционально долям фермерских хозяйств в общей стоимости заготовленного по району хлопка-сырца. </w:t>
      </w:r>
    </w:p>
    <w:p w:rsidR="00000000" w:rsidRDefault="0026302C">
      <w:pPr>
        <w:shd w:val="clear" w:color="auto" w:fill="FFFFFF"/>
        <w:divId w:val="1400861806"/>
        <w:rPr>
          <w:rFonts w:eastAsia="Times New Roman"/>
        </w:rPr>
      </w:pPr>
    </w:p>
    <w:p w:rsidR="0026302C" w:rsidRDefault="0026302C">
      <w:pPr>
        <w:shd w:val="clear" w:color="auto" w:fill="FFFFFF"/>
        <w:jc w:val="center"/>
        <w:divId w:val="1261790494"/>
        <w:rPr>
          <w:rFonts w:eastAsia="Times New Roman"/>
          <w:i/>
          <w:iCs/>
          <w:color w:val="800000"/>
          <w:sz w:val="22"/>
          <w:szCs w:val="22"/>
        </w:rPr>
      </w:pPr>
      <w:r>
        <w:rPr>
          <w:rFonts w:eastAsia="Times New Roman"/>
          <w:i/>
          <w:iCs/>
          <w:color w:val="800000"/>
          <w:sz w:val="22"/>
          <w:szCs w:val="22"/>
        </w:rPr>
        <w:t>(Собрание законодательства Республики Узбекистан, 2011 г., № 6, ст. 48; 2012 г., № 8-9, ст. 85; 2015 г., № 52, ст. 647; 2017 г., № 26, ст. 5)</w:t>
      </w:r>
    </w:p>
    <w:sectPr w:rsidR="0026302C">
      <w:pgSz w:w="11907" w:h="16840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13E12"/>
    <w:rsid w:val="0026302C"/>
    <w:rsid w:val="00E1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140BD3-0DC6-446A-B9A6-3692239F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aexp">
    <w:name w:val="aexp"/>
    <w:basedOn w:val="a"/>
    <w:pPr>
      <w:spacing w:after="240"/>
    </w:pPr>
    <w:rPr>
      <w:b/>
      <w:bCs/>
      <w:color w:val="FF0000"/>
    </w:rPr>
  </w:style>
  <w:style w:type="paragraph" w:customStyle="1" w:styleId="aoad">
    <w:name w:val="aoad"/>
    <w:basedOn w:val="a"/>
    <w:pPr>
      <w:spacing w:after="240"/>
      <w:jc w:val="right"/>
    </w:pPr>
    <w:rPr>
      <w:i/>
      <w:iCs/>
      <w:color w:val="808080"/>
      <w:sz w:val="20"/>
      <w:szCs w:val="20"/>
    </w:rPr>
  </w:style>
  <w:style w:type="paragraph" w:customStyle="1" w:styleId="signcont">
    <w:name w:val="signcont"/>
    <w:basedOn w:val="a"/>
    <w:pPr>
      <w:spacing w:after="240"/>
      <w:jc w:val="center"/>
    </w:pPr>
  </w:style>
  <w:style w:type="paragraph" w:customStyle="1" w:styleId="iorrn">
    <w:name w:val="iorrn"/>
    <w:basedOn w:val="a"/>
    <w:pPr>
      <w:spacing w:before="100" w:beforeAutospacing="1" w:after="100" w:afterAutospacing="1"/>
    </w:pPr>
    <w:rPr>
      <w:b/>
      <w:bCs/>
    </w:rPr>
  </w:style>
  <w:style w:type="paragraph" w:customStyle="1" w:styleId="iorval">
    <w:name w:val="iorval"/>
    <w:basedOn w:val="a"/>
    <w:pPr>
      <w:spacing w:before="100" w:beforeAutospacing="1" w:after="100" w:afterAutospacing="1"/>
      <w:ind w:left="15"/>
    </w:pPr>
  </w:style>
  <w:style w:type="paragraph" w:customStyle="1" w:styleId="clauseprfx">
    <w:name w:val="clauseprfx"/>
    <w:basedOn w:val="a"/>
    <w:pPr>
      <w:spacing w:before="100" w:beforeAutospacing="1" w:after="100" w:afterAutospacing="1"/>
    </w:pPr>
  </w:style>
  <w:style w:type="paragraph" w:customStyle="1" w:styleId="clausesuff">
    <w:name w:val="clausesuff"/>
    <w:basedOn w:val="a"/>
    <w:pPr>
      <w:spacing w:before="100" w:beforeAutospacing="1" w:after="100" w:afterAutospacing="1"/>
    </w:pPr>
  </w:style>
  <w:style w:type="paragraph" w:customStyle="1" w:styleId="acceptingbody">
    <w:name w:val="accepting_body"/>
    <w:basedOn w:val="a"/>
    <w:pPr>
      <w:jc w:val="center"/>
    </w:pPr>
    <w:rPr>
      <w:caps/>
      <w:color w:val="000080"/>
    </w:rPr>
  </w:style>
  <w:style w:type="paragraph" w:customStyle="1" w:styleId="actessentialelements">
    <w:name w:val="act_essential_elements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essentialelementsnum">
    <w:name w:val="act_essential_elements_num"/>
    <w:basedOn w:val="a"/>
    <w:pPr>
      <w:ind w:right="8334"/>
      <w:jc w:val="center"/>
    </w:pPr>
    <w:rPr>
      <w:color w:val="000000"/>
      <w:sz w:val="22"/>
      <w:szCs w:val="22"/>
    </w:rPr>
  </w:style>
  <w:style w:type="paragraph" w:customStyle="1" w:styleId="actform">
    <w:name w:val="act_form"/>
    <w:basedOn w:val="a"/>
    <w:pPr>
      <w:jc w:val="center"/>
    </w:pPr>
    <w:rPr>
      <w:caps/>
      <w:color w:val="000080"/>
    </w:rPr>
  </w:style>
  <w:style w:type="paragraph" w:customStyle="1" w:styleId="actformlaw">
    <w:name w:val="act_form_law"/>
    <w:basedOn w:val="a"/>
    <w:pPr>
      <w:spacing w:after="240"/>
      <w:jc w:val="center"/>
    </w:pPr>
    <w:rPr>
      <w:caps/>
      <w:color w:val="000080"/>
    </w:rPr>
  </w:style>
  <w:style w:type="paragraph" w:customStyle="1" w:styleId="acttext">
    <w:name w:val="act_text"/>
    <w:basedOn w:val="a"/>
    <w:pPr>
      <w:ind w:firstLine="851"/>
      <w:jc w:val="both"/>
    </w:pPr>
    <w:rPr>
      <w:color w:val="000000"/>
    </w:rPr>
  </w:style>
  <w:style w:type="paragraph" w:customStyle="1" w:styleId="acttitle">
    <w:name w:val="act_title"/>
    <w:basedOn w:val="a"/>
    <w:pPr>
      <w:spacing w:before="240" w:after="120"/>
      <w:jc w:val="center"/>
    </w:pPr>
    <w:rPr>
      <w:b/>
      <w:bCs/>
      <w:caps/>
      <w:color w:val="000080"/>
    </w:rPr>
  </w:style>
  <w:style w:type="paragraph" w:customStyle="1" w:styleId="acttitleappl">
    <w:name w:val="act_title_appl"/>
    <w:basedOn w:val="a"/>
    <w:pPr>
      <w:spacing w:after="120"/>
      <w:jc w:val="center"/>
    </w:pPr>
    <w:rPr>
      <w:b/>
      <w:bCs/>
      <w:color w:val="000080"/>
    </w:rPr>
  </w:style>
  <w:style w:type="paragraph" w:customStyle="1" w:styleId="applbannerlandscapetext">
    <w:name w:val="appl_banner_landscape_text"/>
    <w:basedOn w:val="a"/>
    <w:pPr>
      <w:spacing w:after="200"/>
      <w:ind w:left="7857"/>
      <w:jc w:val="center"/>
    </w:pPr>
    <w:rPr>
      <w:color w:val="000080"/>
      <w:sz w:val="22"/>
      <w:szCs w:val="22"/>
    </w:rPr>
  </w:style>
  <w:style w:type="paragraph" w:customStyle="1" w:styleId="applbannerlandscapetitle">
    <w:name w:val="appl_banner_landscape_title"/>
    <w:basedOn w:val="a"/>
    <w:pPr>
      <w:spacing w:before="200" w:after="240"/>
      <w:ind w:left="7857"/>
      <w:jc w:val="center"/>
    </w:pPr>
    <w:rPr>
      <w:color w:val="000080"/>
      <w:sz w:val="22"/>
      <w:szCs w:val="22"/>
    </w:rPr>
  </w:style>
  <w:style w:type="paragraph" w:customStyle="1" w:styleId="applbannerportraittext">
    <w:name w:val="appl_banner_portrait_text"/>
    <w:basedOn w:val="a"/>
    <w:pPr>
      <w:ind w:left="5953"/>
      <w:jc w:val="center"/>
    </w:pPr>
    <w:rPr>
      <w:color w:val="000080"/>
      <w:sz w:val="22"/>
      <w:szCs w:val="22"/>
    </w:rPr>
  </w:style>
  <w:style w:type="paragraph" w:customStyle="1" w:styleId="applbannerportraittitle">
    <w:name w:val="appl_banner_portrait_title"/>
    <w:basedOn w:val="a"/>
    <w:pPr>
      <w:spacing w:after="240"/>
      <w:ind w:left="5953"/>
      <w:jc w:val="center"/>
    </w:pPr>
    <w:rPr>
      <w:color w:val="000080"/>
      <w:sz w:val="22"/>
      <w:szCs w:val="22"/>
    </w:rPr>
  </w:style>
  <w:style w:type="paragraph" w:customStyle="1" w:styleId="bydefault">
    <w:name w:val="by_default"/>
    <w:basedOn w:val="a"/>
    <w:pPr>
      <w:jc w:val="both"/>
    </w:pPr>
    <w:rPr>
      <w:color w:val="000000"/>
    </w:rPr>
  </w:style>
  <w:style w:type="paragraph" w:customStyle="1" w:styleId="changesorigins">
    <w:name w:val="changes_origins"/>
    <w:basedOn w:val="a"/>
    <w:pPr>
      <w:ind w:firstLine="851"/>
      <w:jc w:val="both"/>
    </w:pPr>
    <w:rPr>
      <w:i/>
      <w:iCs/>
      <w:color w:val="800000"/>
      <w:sz w:val="22"/>
      <w:szCs w:val="22"/>
    </w:rPr>
  </w:style>
  <w:style w:type="paragraph" w:customStyle="1" w:styleId="clauseaftersrc">
    <w:name w:val="clause_after_src"/>
    <w:basedOn w:val="a"/>
    <w:pPr>
      <w:spacing w:after="60"/>
      <w:jc w:val="both"/>
    </w:pPr>
    <w:rPr>
      <w:color w:val="000080"/>
    </w:rPr>
  </w:style>
  <w:style w:type="paragraph" w:customStyle="1" w:styleId="clausedefault">
    <w:name w:val="clause_default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comment">
    <w:name w:val="comment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commentforwarning">
    <w:name w:val="comment_for_warning"/>
    <w:basedOn w:val="a"/>
    <w:pPr>
      <w:spacing w:before="60" w:after="60"/>
      <w:ind w:firstLine="851"/>
      <w:jc w:val="both"/>
    </w:pPr>
    <w:rPr>
      <w:i/>
      <w:iCs/>
      <w:color w:val="800080"/>
      <w:sz w:val="22"/>
      <w:szCs w:val="22"/>
    </w:rPr>
  </w:style>
  <w:style w:type="paragraph" w:customStyle="1" w:styleId="departmental">
    <w:name w:val="departmental"/>
    <w:basedOn w:val="a"/>
    <w:pPr>
      <w:spacing w:after="120"/>
      <w:jc w:val="center"/>
    </w:pPr>
    <w:rPr>
      <w:b/>
      <w:bCs/>
      <w:color w:val="000000"/>
    </w:rPr>
  </w:style>
  <w:style w:type="paragraph" w:customStyle="1" w:styleId="explanation">
    <w:name w:val="explanation"/>
    <w:basedOn w:val="a"/>
    <w:pPr>
      <w:spacing w:before="60" w:after="60"/>
      <w:ind w:firstLine="851"/>
      <w:jc w:val="both"/>
    </w:pPr>
    <w:rPr>
      <w:color w:val="993366"/>
      <w:sz w:val="22"/>
      <w:szCs w:val="22"/>
    </w:rPr>
  </w:style>
  <w:style w:type="paragraph" w:customStyle="1" w:styleId="extract">
    <w:name w:val="extract"/>
    <w:basedOn w:val="a"/>
    <w:pPr>
      <w:spacing w:after="120"/>
      <w:jc w:val="center"/>
    </w:pPr>
    <w:rPr>
      <w:b/>
      <w:bCs/>
      <w:color w:val="000000"/>
    </w:rPr>
  </w:style>
  <w:style w:type="paragraph" w:customStyle="1" w:styleId="footnote">
    <w:name w:val="footnote"/>
    <w:basedOn w:val="a"/>
    <w:pPr>
      <w:ind w:firstLine="851"/>
      <w:jc w:val="both"/>
    </w:pPr>
    <w:rPr>
      <w:color w:val="339966"/>
      <w:sz w:val="20"/>
      <w:szCs w:val="20"/>
    </w:rPr>
  </w:style>
  <w:style w:type="paragraph" w:customStyle="1" w:styleId="grifparlament">
    <w:name w:val="grif_parlament"/>
    <w:basedOn w:val="a"/>
    <w:pPr>
      <w:spacing w:after="60"/>
      <w:ind w:left="5953"/>
    </w:pPr>
    <w:rPr>
      <w:color w:val="000080"/>
    </w:rPr>
  </w:style>
  <w:style w:type="paragraph" w:customStyle="1" w:styleId="indexesonref">
    <w:name w:val="indexes_on_ref"/>
    <w:basedOn w:val="a"/>
    <w:pPr>
      <w:spacing w:before="60" w:after="60"/>
      <w:ind w:left="539" w:right="510"/>
    </w:pPr>
    <w:rPr>
      <w:color w:val="008000"/>
      <w:sz w:val="22"/>
      <w:szCs w:val="22"/>
    </w:rPr>
  </w:style>
  <w:style w:type="paragraph" w:customStyle="1" w:styleId="istableforlisttemp">
    <w:name w:val="is_table_for_list_temp"/>
    <w:basedOn w:val="a"/>
    <w:pPr>
      <w:ind w:firstLine="851"/>
      <w:jc w:val="both"/>
    </w:pPr>
    <w:rPr>
      <w:color w:val="000000"/>
    </w:rPr>
  </w:style>
  <w:style w:type="paragraph" w:customStyle="1" w:styleId="newedition">
    <w:name w:val="new_edition"/>
    <w:basedOn w:val="a"/>
    <w:pPr>
      <w:spacing w:after="120"/>
      <w:jc w:val="center"/>
    </w:pPr>
    <w:rPr>
      <w:color w:val="000080"/>
    </w:rPr>
  </w:style>
  <w:style w:type="paragraph" w:customStyle="1" w:styleId="officialsourtext">
    <w:name w:val="official_sour_text"/>
    <w:basedOn w:val="a"/>
    <w:pPr>
      <w:pBdr>
        <w:top w:val="single" w:sz="6" w:space="0" w:color="A9DBFC"/>
        <w:left w:val="single" w:sz="6" w:space="0" w:color="A9DBFC"/>
        <w:bottom w:val="single" w:sz="6" w:space="0" w:color="A9DBFC"/>
        <w:right w:val="single" w:sz="6" w:space="0" w:color="A9DBFC"/>
      </w:pBdr>
      <w:shd w:val="clear" w:color="auto" w:fill="E6EDFF"/>
      <w:spacing w:before="100" w:beforeAutospacing="1" w:after="100" w:afterAutospacing="1"/>
      <w:jc w:val="right"/>
    </w:pPr>
    <w:rPr>
      <w:rFonts w:ascii="Arial" w:hAnsi="Arial" w:cs="Arial"/>
      <w:vanish/>
      <w:sz w:val="16"/>
      <w:szCs w:val="16"/>
    </w:rPr>
  </w:style>
  <w:style w:type="paragraph" w:customStyle="1" w:styleId="publicationorigin">
    <w:name w:val="publication_origin"/>
    <w:basedOn w:val="a"/>
    <w:pPr>
      <w:spacing w:after="240"/>
      <w:jc w:val="center"/>
    </w:pPr>
    <w:rPr>
      <w:i/>
      <w:iCs/>
      <w:color w:val="800000"/>
      <w:sz w:val="22"/>
      <w:szCs w:val="22"/>
    </w:rPr>
  </w:style>
  <w:style w:type="paragraph" w:customStyle="1" w:styleId="signature">
    <w:name w:val="signature"/>
    <w:basedOn w:val="a"/>
    <w:pPr>
      <w:spacing w:before="120" w:after="120"/>
      <w:jc w:val="right"/>
    </w:pPr>
    <w:rPr>
      <w:b/>
      <w:bCs/>
      <w:color w:val="000000"/>
    </w:rPr>
  </w:style>
  <w:style w:type="paragraph" w:customStyle="1" w:styleId="signaturestampsplaceholder">
    <w:name w:val="signature_stamps_placeholder"/>
    <w:basedOn w:val="a"/>
    <w:pPr>
      <w:spacing w:before="60" w:after="60"/>
      <w:ind w:left="150" w:right="150"/>
      <w:jc w:val="both"/>
      <w:textAlignment w:val="top"/>
    </w:pPr>
  </w:style>
  <w:style w:type="paragraph" w:customStyle="1" w:styleId="signaturestamptext">
    <w:name w:val="signature_stamp_text"/>
    <w:basedOn w:val="a"/>
    <w:pPr>
      <w:jc w:val="center"/>
    </w:pPr>
    <w:rPr>
      <w:color w:val="000080"/>
      <w:sz w:val="22"/>
      <w:szCs w:val="22"/>
    </w:rPr>
  </w:style>
  <w:style w:type="paragraph" w:customStyle="1" w:styleId="signaturewithbold">
    <w:name w:val="signature_with_bold"/>
    <w:basedOn w:val="a"/>
    <w:pPr>
      <w:spacing w:before="120" w:after="120"/>
      <w:jc w:val="right"/>
    </w:pPr>
    <w:rPr>
      <w:color w:val="000000"/>
    </w:rPr>
  </w:style>
  <w:style w:type="paragraph" w:customStyle="1" w:styleId="tablestd">
    <w:name w:val="table_std"/>
    <w:basedOn w:val="a"/>
    <w:pPr>
      <w:shd w:val="clear" w:color="auto" w:fill="FFFFFF"/>
      <w:spacing w:before="80" w:after="80"/>
      <w:ind w:left="80" w:right="80"/>
    </w:pPr>
    <w:rPr>
      <w:color w:val="000000"/>
    </w:rPr>
  </w:style>
  <w:style w:type="paragraph" w:customStyle="1" w:styleId="text15left">
    <w:name w:val="text_15_left"/>
    <w:basedOn w:val="a"/>
    <w:pPr>
      <w:spacing w:after="60"/>
    </w:pPr>
    <w:rPr>
      <w:color w:val="000080"/>
    </w:rPr>
  </w:style>
  <w:style w:type="paragraph" w:customStyle="1" w:styleId="text30left">
    <w:name w:val="text_30_left"/>
    <w:basedOn w:val="a"/>
    <w:pPr>
      <w:spacing w:after="60"/>
    </w:pPr>
    <w:rPr>
      <w:color w:val="000080"/>
    </w:rPr>
  </w:style>
  <w:style w:type="paragraph" w:customStyle="1" w:styleId="textbold">
    <w:name w:val="text_bold"/>
    <w:basedOn w:val="a"/>
    <w:pPr>
      <w:spacing w:before="120" w:after="60"/>
      <w:ind w:firstLine="851"/>
      <w:jc w:val="both"/>
    </w:pPr>
    <w:rPr>
      <w:b/>
      <w:bCs/>
      <w:color w:val="000080"/>
    </w:rPr>
  </w:style>
  <w:style w:type="paragraph" w:customStyle="1" w:styleId="textboldcenter">
    <w:name w:val="text_bold_center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boldright">
    <w:name w:val="text_bold_right"/>
    <w:basedOn w:val="a"/>
    <w:pPr>
      <w:spacing w:after="60"/>
      <w:jc w:val="right"/>
    </w:pPr>
    <w:rPr>
      <w:b/>
      <w:bCs/>
      <w:color w:val="000000"/>
    </w:rPr>
  </w:style>
  <w:style w:type="paragraph" w:customStyle="1" w:styleId="textcenter">
    <w:name w:val="text_center"/>
    <w:basedOn w:val="a"/>
    <w:pPr>
      <w:spacing w:after="60"/>
      <w:jc w:val="center"/>
    </w:pPr>
    <w:rPr>
      <w:color w:val="000080"/>
    </w:rPr>
  </w:style>
  <w:style w:type="paragraph" w:customStyle="1" w:styleId="textheaderaftersrc">
    <w:name w:val="text_header_after_src"/>
    <w:basedOn w:val="a"/>
    <w:pPr>
      <w:spacing w:after="60"/>
      <w:jc w:val="center"/>
    </w:pPr>
    <w:rPr>
      <w:b/>
      <w:bCs/>
      <w:color w:val="000080"/>
    </w:rPr>
  </w:style>
  <w:style w:type="paragraph" w:customStyle="1" w:styleId="textheaderdefault">
    <w:name w:val="text_header_default"/>
    <w:basedOn w:val="a"/>
    <w:pPr>
      <w:spacing w:before="120" w:after="60"/>
      <w:jc w:val="center"/>
    </w:pPr>
    <w:rPr>
      <w:b/>
      <w:bCs/>
      <w:color w:val="000080"/>
    </w:rPr>
  </w:style>
  <w:style w:type="paragraph" w:customStyle="1" w:styleId="textitalic">
    <w:name w:val="text_italic"/>
    <w:basedOn w:val="a"/>
    <w:pPr>
      <w:ind w:firstLine="851"/>
      <w:jc w:val="both"/>
    </w:pPr>
    <w:rPr>
      <w:i/>
      <w:iCs/>
      <w:color w:val="000080"/>
    </w:rPr>
  </w:style>
  <w:style w:type="paragraph" w:customStyle="1" w:styleId="textright">
    <w:name w:val="text_right"/>
    <w:basedOn w:val="a"/>
    <w:pPr>
      <w:spacing w:after="60"/>
      <w:jc w:val="right"/>
    </w:pPr>
    <w:rPr>
      <w:color w:val="000080"/>
    </w:rPr>
  </w:style>
  <w:style w:type="character" w:customStyle="1" w:styleId="iorrn1">
    <w:name w:val="iorrn1"/>
    <w:basedOn w:val="a0"/>
    <w:rPr>
      <w:b/>
      <w:bCs/>
    </w:rPr>
  </w:style>
  <w:style w:type="character" w:customStyle="1" w:styleId="iorval1">
    <w:name w:val="iorval1"/>
    <w:basedOn w:val="a0"/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861806"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12894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1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9873">
          <w:marLeft w:val="539"/>
          <w:marRight w:val="51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18948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865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3302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3776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8447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9992">
          <w:marLeft w:val="0"/>
          <w:marRight w:val="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5574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306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8579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2743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01686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25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685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09518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95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6098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0789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09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2028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1118">
          <w:marLeft w:val="6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26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777">
          <w:marLeft w:val="80"/>
          <w:marRight w:val="8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04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z/docs/1966635?ONDATE=28.02.2012%2000" TargetMode="External"/><Relationship Id="rId13" Type="http://schemas.openxmlformats.org/officeDocument/2006/relationships/hyperlink" Target="javascript:scrollText()" TargetMode="External"/><Relationship Id="rId18" Type="http://schemas.openxmlformats.org/officeDocument/2006/relationships/hyperlink" Target="javascript:scrollText(1741827)" TargetMode="External"/><Relationship Id="rId26" Type="http://schemas.openxmlformats.org/officeDocument/2006/relationships/hyperlink" Target="http://lex.uz/docs/384863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javascript:scrollText(1741868)" TargetMode="External"/><Relationship Id="rId34" Type="http://schemas.openxmlformats.org/officeDocument/2006/relationships/hyperlink" Target="javascript:scrollText(1741792)" TargetMode="External"/><Relationship Id="rId7" Type="http://schemas.openxmlformats.org/officeDocument/2006/relationships/hyperlink" Target="http://lex.uz/docs/1925542" TargetMode="External"/><Relationship Id="rId12" Type="http://schemas.openxmlformats.org/officeDocument/2006/relationships/hyperlink" Target="http://lex.uz/docs/3250703?ONDATE=03.07.2017%2000" TargetMode="External"/><Relationship Id="rId17" Type="http://schemas.openxmlformats.org/officeDocument/2006/relationships/hyperlink" Target="http://lex.uz/docs/2850084?ONDATE=31.12.2015%2000" TargetMode="External"/><Relationship Id="rId25" Type="http://schemas.openxmlformats.org/officeDocument/2006/relationships/hyperlink" Target="http://lex.uz/docs/2850084?ONDATE=31.12.2015%2000" TargetMode="External"/><Relationship Id="rId33" Type="http://schemas.openxmlformats.org/officeDocument/2006/relationships/hyperlink" Target="http://lex.uz/docs/2850084?ONDATE=31.12.2015%2000" TargetMode="External"/><Relationship Id="rId38" Type="http://schemas.openxmlformats.org/officeDocument/2006/relationships/hyperlink" Target="javascript:scrollText(1745209)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ex.uz/docs/3250703?ONDATE=03.07.2017%2000" TargetMode="External"/><Relationship Id="rId20" Type="http://schemas.openxmlformats.org/officeDocument/2006/relationships/hyperlink" Target="http://lex.uz/docs/2850084?ONDATE=31.12.2015%2000" TargetMode="External"/><Relationship Id="rId29" Type="http://schemas.openxmlformats.org/officeDocument/2006/relationships/hyperlink" Target="javascript:scrollText(1741792)" TargetMode="External"/><Relationship Id="rId1" Type="http://schemas.openxmlformats.org/officeDocument/2006/relationships/styles" Target="styles.xml"/><Relationship Id="rId6" Type="http://schemas.openxmlformats.org/officeDocument/2006/relationships/hyperlink" Target="http://lex.uz/docs/3559662?ONDATE=16.02.2018%2002" TargetMode="External"/><Relationship Id="rId11" Type="http://schemas.openxmlformats.org/officeDocument/2006/relationships/hyperlink" Target="http://lex.uz/docs/2850084?ONDATE=31.12.2015%2000" TargetMode="External"/><Relationship Id="rId24" Type="http://schemas.openxmlformats.org/officeDocument/2006/relationships/hyperlink" Target="javascript:scrollText(2861076)" TargetMode="External"/><Relationship Id="rId32" Type="http://schemas.openxmlformats.org/officeDocument/2006/relationships/hyperlink" Target="http://lex.uz/docs/2850084?ONDATE=31.12.2015%2000" TargetMode="External"/><Relationship Id="rId37" Type="http://schemas.openxmlformats.org/officeDocument/2006/relationships/hyperlink" Target="javascript:scrollText(1741792)" TargetMode="External"/><Relationship Id="rId40" Type="http://schemas.openxmlformats.org/officeDocument/2006/relationships/theme" Target="theme/theme1.xml"/><Relationship Id="rId5" Type="http://schemas.openxmlformats.org/officeDocument/2006/relationships/image" Target="file:///C:\image\favicon.gif" TargetMode="External"/><Relationship Id="rId15" Type="http://schemas.openxmlformats.org/officeDocument/2006/relationships/hyperlink" Target="http://lex.uz/docs/1966635?ONDATE=28.02.2012%2000" TargetMode="External"/><Relationship Id="rId23" Type="http://schemas.openxmlformats.org/officeDocument/2006/relationships/hyperlink" Target="javascript:scrollText(1742036)" TargetMode="External"/><Relationship Id="rId28" Type="http://schemas.openxmlformats.org/officeDocument/2006/relationships/hyperlink" Target="http://lex.uz/docs/2850084?ONDATE=31.12.2015%2000" TargetMode="External"/><Relationship Id="rId36" Type="http://schemas.openxmlformats.org/officeDocument/2006/relationships/hyperlink" Target="http://lex.uz/docs/2850084?ONDATE=31.12.2015%2000" TargetMode="External"/><Relationship Id="rId10" Type="http://schemas.openxmlformats.org/officeDocument/2006/relationships/hyperlink" Target="http://lex.uz/docs/2850084?ONDATE=31.12.2015%2000" TargetMode="External"/><Relationship Id="rId19" Type="http://schemas.openxmlformats.org/officeDocument/2006/relationships/hyperlink" Target="http://lex.uz/docs/2850084?ONDATE=31.12.2015%2000" TargetMode="External"/><Relationship Id="rId31" Type="http://schemas.openxmlformats.org/officeDocument/2006/relationships/hyperlink" Target="javascript:scrollText(1741792)" TargetMode="External"/><Relationship Id="rId4" Type="http://schemas.openxmlformats.org/officeDocument/2006/relationships/hyperlink" Target="http://lex.uz/files/1743688.pdf" TargetMode="External"/><Relationship Id="rId9" Type="http://schemas.openxmlformats.org/officeDocument/2006/relationships/hyperlink" Target="javascript:scrollText(1741792)" TargetMode="External"/><Relationship Id="rId14" Type="http://schemas.openxmlformats.org/officeDocument/2006/relationships/hyperlink" Target="http://lex.uz/docs/1925542" TargetMode="External"/><Relationship Id="rId22" Type="http://schemas.openxmlformats.org/officeDocument/2006/relationships/hyperlink" Target="javascript:scrollText(1742001)" TargetMode="External"/><Relationship Id="rId27" Type="http://schemas.openxmlformats.org/officeDocument/2006/relationships/hyperlink" Target="http://lex.uz/docs/3250703?ONDATE=03.07.2017%2000" TargetMode="External"/><Relationship Id="rId30" Type="http://schemas.openxmlformats.org/officeDocument/2006/relationships/hyperlink" Target="http://lex.uz/docs/2850084?ONDATE=31.12.2015%2000" TargetMode="External"/><Relationship Id="rId35" Type="http://schemas.openxmlformats.org/officeDocument/2006/relationships/hyperlink" Target="javascript:scrollText(286197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2927</Words>
  <Characters>16686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30 04.02.2011</vt:lpstr>
    </vt:vector>
  </TitlesOfParts>
  <Company>SPecialiST RePack</Company>
  <LinksUpToDate>false</LinksUpToDate>
  <CharactersWithSpaces>19574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30 04.02.2011</dc:title>
  <dc:subject/>
  <dc:creator>user</dc:creator>
  <cp:keywords/>
  <dc:description/>
  <cp:lastModifiedBy>user</cp:lastModifiedBy>
  <cp:revision>2</cp:revision>
  <dcterms:created xsi:type="dcterms:W3CDTF">2021-04-07T06:17:00Z</dcterms:created>
  <dcterms:modified xsi:type="dcterms:W3CDTF">2021-04-07T06:17:00Z</dcterms:modified>
</cp:coreProperties>
</file>